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 xml:space="preserve">Надання соціальних послуг у територіальних центрах соціального обслуговування (надання соціальній послуг) міста Києва </w:t>
      </w:r>
    </w:p>
    <w:p w:rsidR="00777F14" w:rsidRPr="000C5851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 xml:space="preserve">за І </w:t>
      </w:r>
      <w:r>
        <w:rPr>
          <w:rFonts w:cs="Times New Roman"/>
          <w:b/>
          <w:lang w:val="uk-UA"/>
        </w:rPr>
        <w:t>півріччя</w:t>
      </w:r>
      <w:r w:rsidRPr="00A67A2D">
        <w:rPr>
          <w:rFonts w:cs="Times New Roman"/>
          <w:b/>
          <w:lang w:val="uk-UA"/>
        </w:rPr>
        <w:t xml:space="preserve"> 2017 року</w:t>
      </w:r>
      <w:r w:rsidR="007502E5">
        <w:rPr>
          <w:rFonts w:cs="Times New Roman"/>
          <w:b/>
          <w:lang w:val="uk-UA"/>
        </w:rPr>
        <w:t xml:space="preserve"> </w:t>
      </w:r>
    </w:p>
    <w:p w:rsidR="00777F14" w:rsidRPr="000C5851" w:rsidRDefault="00777F14" w:rsidP="006011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).</w:t>
      </w:r>
      <w:r w:rsidRPr="000C5851">
        <w:rPr>
          <w:rFonts w:cs="Times New Roman"/>
          <w:lang w:val="uk-UA"/>
        </w:rPr>
        <w:t xml:space="preserve"> На даний час на обліку перебуває </w:t>
      </w:r>
      <w:r w:rsidRPr="000C5851">
        <w:rPr>
          <w:rFonts w:cs="Times New Roman"/>
          <w:b/>
          <w:lang w:val="uk-UA"/>
        </w:rPr>
        <w:t xml:space="preserve">30 096 </w:t>
      </w:r>
      <w:r w:rsidRPr="000C5851">
        <w:rPr>
          <w:rFonts w:cs="Times New Roman"/>
          <w:lang w:val="uk-UA"/>
        </w:rPr>
        <w:t>отримувачів соціальних послуг.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№1417 «Деякі питання діяльності Територіальних центрів соціального обслуговування (надання соціальних послуг)», Державних стандартів соціальних послуг та відповідно до укладених договорів із громадянами.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Територіальні центри надають такі соціальні послуги: догляд вдома, денний догляд, соціальна адаптація, паліативний догляд, консультування, соціально-економічні (у формі надання натуральної чи грошової допомоги),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777F14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bookmarkStart w:id="0" w:name="_GoBack"/>
      <w:r w:rsidRPr="000C5851">
        <w:rPr>
          <w:noProof/>
          <w:sz w:val="28"/>
          <w:szCs w:val="28"/>
        </w:rPr>
        <w:drawing>
          <wp:inline distT="0" distB="0" distL="0" distR="0" wp14:anchorId="18BFD3C7" wp14:editId="122C3DA1">
            <wp:extent cx="6256020" cy="23469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3C12BD" w:rsidRPr="000C5851">
        <w:rPr>
          <w:rFonts w:ascii="Times New Roman" w:hAnsi="Times New Roman"/>
          <w:szCs w:val="28"/>
        </w:rPr>
        <w:t xml:space="preserve">У 31 відділенні соціальної допомоги вдома територіальних центрів на </w:t>
      </w:r>
      <w:r w:rsidR="003C12BD" w:rsidRPr="000C5851">
        <w:rPr>
          <w:rFonts w:ascii="Times New Roman" w:hAnsi="Times New Roman"/>
          <w:szCs w:val="28"/>
        </w:rPr>
        <w:lastRenderedPageBreak/>
        <w:t xml:space="preserve">надомному обслуговуванні перебуває </w:t>
      </w:r>
      <w:r w:rsidR="003C12BD" w:rsidRPr="000C5851">
        <w:rPr>
          <w:rFonts w:ascii="Times New Roman" w:hAnsi="Times New Roman"/>
          <w:b/>
          <w:szCs w:val="28"/>
        </w:rPr>
        <w:t>10 861</w:t>
      </w:r>
      <w:r w:rsidR="003C12BD" w:rsidRPr="000C5851">
        <w:rPr>
          <w:rFonts w:ascii="Times New Roman" w:hAnsi="Times New Roman"/>
          <w:szCs w:val="28"/>
        </w:rPr>
        <w:t xml:space="preserve"> одинокий непрацездатний громадянин, яким соціальні робітники протягом І півріччя 2017 року надали </w:t>
      </w:r>
      <w:r w:rsidR="003C12BD" w:rsidRPr="000C5851">
        <w:rPr>
          <w:rFonts w:ascii="Times New Roman" w:hAnsi="Times New Roman"/>
          <w:b/>
          <w:szCs w:val="28"/>
        </w:rPr>
        <w:t>2 488 641</w:t>
      </w:r>
      <w:r w:rsidR="003C12BD" w:rsidRPr="000C5851">
        <w:rPr>
          <w:rFonts w:ascii="Times New Roman" w:hAnsi="Times New Roman"/>
          <w:szCs w:val="28"/>
        </w:rPr>
        <w:t> різноманітну соціально-побутову послугу</w:t>
      </w:r>
      <w:r w:rsidRPr="000C5851">
        <w:rPr>
          <w:rFonts w:ascii="Times New Roman" w:hAnsi="Times New Roman"/>
          <w:szCs w:val="28"/>
        </w:rPr>
        <w:t xml:space="preserve"> (придбання та доставка продуктів харчування, продовольчих, промислових та господарських товарів, вологе та генеральне прибирання, оплата платежів, організація харчування)</w:t>
      </w: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метою охоплення більшої кількості громадян, які потребують соціальних послуг, але не можуть отримувати їх безоплатно, відповідно до постанови Кабінету Міністрів України від 29.12.2009 № 1417 «Деякі питання діяльності територіальних центрів соціального обслуговування (надання соціальних послуг)» у міському та районних територіальних центрах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з 01.07.2016 року запроваджено надання платних соціальних послуг. </w:t>
      </w:r>
    </w:p>
    <w:p w:rsidR="003C12BD" w:rsidRPr="000C5851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 півріччя 2017 року                             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17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510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я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16,2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тис.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грн.</w:t>
      </w:r>
    </w:p>
    <w:p w:rsidR="00777F14" w:rsidRPr="000C5851" w:rsidRDefault="000D3C8A" w:rsidP="00601152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 (далі – відділення). Протягом І півріччя 2017 року 20 соціальними робітниками надавались послуги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107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відділення надано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46 237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соціально-побутових послуг.</w:t>
      </w: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Послуга паліативного догляду передбачає:</w:t>
      </w: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– лікарську допомогу на дому (регулярне спостереження, консультації, лікування симптомів хвороби);</w:t>
      </w: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– </w:t>
      </w:r>
      <w:proofErr w:type="spellStart"/>
      <w:r w:rsidRPr="000C5851">
        <w:rPr>
          <w:sz w:val="28"/>
          <w:szCs w:val="28"/>
          <w:lang w:val="uk-UA"/>
        </w:rPr>
        <w:t>медсестринську</w:t>
      </w:r>
      <w:proofErr w:type="spellEnd"/>
      <w:r w:rsidRPr="000C5851">
        <w:rPr>
          <w:sz w:val="28"/>
          <w:szCs w:val="28"/>
          <w:lang w:val="uk-UA"/>
        </w:rPr>
        <w:t xml:space="preserve"> допомогу – проведення лікувальних процедур і маніпуляцій по догляду;</w:t>
      </w: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– соціально-побутові послуги – придбання ліків та ін.;</w:t>
      </w: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– психологічну допомогу – індивідуальна підтримка тяжко хворої людини та її рідних і близьких, метою якої є максимально повно прожити останній етап життя та налагодити довірливі стосунки з оточуючими людьми;</w:t>
      </w: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– духовну підтримку, яку надають священнослужителі різних конфесій відповідно до потреб тяжко хворих.</w:t>
      </w: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t>В</w:t>
      </w:r>
      <w:proofErr w:type="spellStart"/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ідділення</w:t>
      </w:r>
      <w:proofErr w:type="spellEnd"/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C5851">
        <w:rPr>
          <w:sz w:val="28"/>
          <w:szCs w:val="28"/>
          <w:shd w:val="clear" w:color="auto" w:fill="FFFFFF"/>
          <w:lang w:val="uk-UA"/>
        </w:rPr>
        <w:lastRenderedPageBreak/>
        <w:t>В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Pr="000C5851">
        <w:rPr>
          <w:sz w:val="28"/>
          <w:szCs w:val="28"/>
          <w:shd w:val="clear" w:color="auto" w:fill="FFFFFF"/>
          <w:lang w:val="uk-UA"/>
        </w:rPr>
        <w:t xml:space="preserve">, в яких </w:t>
      </w:r>
      <w:r w:rsidR="000D3C8A" w:rsidRPr="000C5851">
        <w:rPr>
          <w:b/>
          <w:sz w:val="28"/>
          <w:szCs w:val="28"/>
          <w:lang w:val="uk-UA"/>
        </w:rPr>
        <w:t>7 830</w:t>
      </w:r>
      <w:r w:rsidR="000D3C8A" w:rsidRPr="000C5851">
        <w:rPr>
          <w:sz w:val="28"/>
          <w:szCs w:val="28"/>
          <w:lang w:val="uk-UA"/>
        </w:rPr>
        <w:t xml:space="preserve"> осіб </w:t>
      </w:r>
      <w:r w:rsidRPr="000C5851">
        <w:rPr>
          <w:sz w:val="28"/>
          <w:szCs w:val="28"/>
          <w:shd w:val="clear" w:color="auto" w:fill="FFFFFF"/>
          <w:lang w:val="uk-UA"/>
        </w:rPr>
        <w:t>отримують відповідні послуги.</w:t>
      </w:r>
    </w:p>
    <w:p w:rsidR="000D3C8A" w:rsidRPr="000C5851" w:rsidRDefault="000D3C8A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районних територіальних центрів 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надається соціально-педагогічна послуга «Університет третього віку»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працює гурткова робота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період 2016-2017 навчального року на 84 факультетах та у 46 гуртках навчалося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2 412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осіб, значна кількість з яких відвідували по декілька факультетів та гуртків одночасно. За навчальний період працівниками територіальних центрів, запрошеними професіоналами та волонтерами проведено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13 711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занять. Також значна увага приділяється організації дозвілля громадян похилого віку та осіб з інвалідністю. З цією метою проводяться святкові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16221D" w:rsidRPr="0016221D">
        <w:rPr>
          <w:b/>
          <w:sz w:val="28"/>
          <w:szCs w:val="28"/>
          <w:u w:val="single"/>
          <w:lang w:val="uk-UA"/>
        </w:rPr>
        <w:t>організації   надання   адресно</w:t>
      </w:r>
      <w:r w:rsidR="0016221D">
        <w:rPr>
          <w:b/>
          <w:sz w:val="28"/>
          <w:szCs w:val="28"/>
          <w:u w:val="single"/>
          <w:lang w:val="uk-UA"/>
        </w:rPr>
        <w:t xml:space="preserve">ї   натуральної   та  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777F14" w:rsidRPr="000C5851" w:rsidRDefault="00777F14" w:rsidP="0016221D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З метою реалізації Указів Президента України від 11.07.2005 № 1086 "Про першочергові заходи щодо захисту прав дітей" та від 12.11.1999</w:t>
      </w:r>
      <w:r w:rsidR="00616C6C" w:rsidRPr="000C5851">
        <w:rPr>
          <w:sz w:val="28"/>
          <w:szCs w:val="28"/>
          <w:lang w:val="uk-UA"/>
        </w:rPr>
        <w:t xml:space="preserve"> </w:t>
      </w:r>
      <w:r w:rsidRPr="000C5851">
        <w:rPr>
          <w:sz w:val="28"/>
          <w:szCs w:val="28"/>
          <w:lang w:val="uk-UA"/>
        </w:rPr>
        <w:t>№ 1460/99 "Про заходи щодо поліпшення становища багатодітних сімей" районними територіальними центрами приділяється особлива увага дітям, що проживають в складних і надзвичайних умовах. Це насамперед, діти-інваліди, діти-сироти, діти, що залишилися без піклування батьків, що утримуються непрацездатними батьками або опікунами, багатодітні сім’ї.</w:t>
      </w:r>
    </w:p>
    <w:p w:rsidR="00777F14" w:rsidRPr="000C5851" w:rsidRDefault="00777F14" w:rsidP="0016221D">
      <w:pPr>
        <w:autoSpaceDE w:val="0"/>
        <w:autoSpaceDN w:val="0"/>
        <w:adjustRightInd w:val="0"/>
        <w:ind w:left="23" w:right="23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відділеннях організації надання адресної побутової та натуральної допомоги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616C6C"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8 123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 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малозабезпечених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громадян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ина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r w:rsidRPr="000C585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І кварталу 2017 року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отримали натуральну допомогу (у вигляді продуктових наборів, продовольчих товарів, речей б/в тощо) на суму 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</w:t>
      </w:r>
      <w:r w:rsidR="00616C6C"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10 045,25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Pr="000C585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тис. грн.</w:t>
      </w:r>
    </w:p>
    <w:p w:rsidR="00777F14" w:rsidRPr="000C5851" w:rsidRDefault="00777F14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>Відділення соціально-медичної реабілітації дітей з дитячим церебральним паралічем, розумово - відсталих дітей та дітей з органічним ураженням центральної нервової системи з порушенням психіки (денного перебування)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left="23" w:right="23"/>
        <w:rPr>
          <w:rFonts w:cs="Times New Roman"/>
          <w:lang w:val="uk-UA"/>
        </w:rPr>
      </w:pPr>
      <w:r w:rsidRPr="000C5851">
        <w:rPr>
          <w:rFonts w:cs="Times New Roman"/>
          <w:lang w:val="uk-UA" w:eastAsia="ru-RU"/>
        </w:rPr>
        <w:t xml:space="preserve">У місті Києві функціонує </w:t>
      </w:r>
      <w:r w:rsidRPr="000C5851">
        <w:rPr>
          <w:rFonts w:cs="Times New Roman"/>
          <w:lang w:val="uk-UA"/>
        </w:rPr>
        <w:t xml:space="preserve">9 відділень соціально-медичної реабілітації дітей з дитячим церебральним паралічем, розумово відсталих дітей та дітей з </w:t>
      </w:r>
      <w:r w:rsidRPr="000C5851">
        <w:rPr>
          <w:rFonts w:cs="Times New Roman"/>
          <w:lang w:val="uk-UA"/>
        </w:rPr>
        <w:lastRenderedPageBreak/>
        <w:t xml:space="preserve">ураженням центральної нервової системи з порушенням психіки (денне перебування), відділення комплексної соціальної реабілітації дітей з інвалідністю в Дніпровському районі м. Києва та група для надання соціальної послуги денного догляду дітям з інвалідністю в Шевченківському районі                  м. Києва, в яких отримують реабілітаційні послуги </w:t>
      </w:r>
      <w:r w:rsidR="00616C6C" w:rsidRPr="000C5851">
        <w:rPr>
          <w:rFonts w:cs="Times New Roman"/>
          <w:b/>
          <w:lang w:val="uk-UA"/>
        </w:rPr>
        <w:t>31</w:t>
      </w:r>
      <w:r w:rsidR="00601152" w:rsidRPr="000C5851">
        <w:rPr>
          <w:rFonts w:cs="Times New Roman"/>
          <w:b/>
          <w:lang w:val="uk-UA"/>
        </w:rPr>
        <w:t>3</w:t>
      </w:r>
      <w:r w:rsidR="00616C6C" w:rsidRPr="000C5851">
        <w:rPr>
          <w:rFonts w:cs="Times New Roman"/>
          <w:b/>
          <w:lang w:val="uk-UA"/>
        </w:rPr>
        <w:t xml:space="preserve"> </w:t>
      </w:r>
      <w:r w:rsidRPr="000C5851">
        <w:rPr>
          <w:rFonts w:cs="Times New Roman"/>
          <w:lang w:val="uk-UA"/>
        </w:rPr>
        <w:t>д</w:t>
      </w:r>
      <w:r w:rsidR="00616C6C" w:rsidRPr="000C5851">
        <w:rPr>
          <w:rFonts w:cs="Times New Roman"/>
          <w:lang w:val="uk-UA"/>
        </w:rPr>
        <w:t>ітей</w:t>
      </w:r>
      <w:r w:rsidRPr="000C5851">
        <w:rPr>
          <w:rFonts w:cs="Times New Roman"/>
          <w:lang w:val="uk-UA"/>
        </w:rPr>
        <w:t xml:space="preserve"> з особливими потребами.</w:t>
      </w: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5851">
        <w:rPr>
          <w:rFonts w:ascii="Times New Roman" w:hAnsi="Times New Roman" w:cs="Times New Roman"/>
          <w:color w:val="auto"/>
          <w:sz w:val="28"/>
          <w:szCs w:val="28"/>
        </w:rPr>
        <w:t>Постановою Кабінету Міністрів України від 27.04.2006 № 589 «Про установлення натуральних добових норм харчування у Всеукраїнському центрі професійної реабілітації інвалідів та інших реабілітаційних закладах сфери управління Міністерства праці та соціальної політики України» регламентовано забезпечення дітей-інвалідів, які проходять реабілітацію у закладах, підпорядкованих органам соціального захисту населення, за натуральними добовими нормами харчування у дитячих будинках-інтернатах І—ІV профілю, професійно-технічних училищах для дітей-інвалідів з вадами фізичного та розумового розвитку.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Перевезення дітей-інвалідів  до відділень соціально-медичної реабілітації здійснюється на спеціально обладнаних автомобілях, які знаходиться на балансах районних територіальних центрів. Крім того відділення транспортного обслуговування інвалідів з порушенням опорно-рухового апарату Київського міського територіального центру соціального обслуговування забезпечує спеціальним автотранспортом дітей-інвалідів за особистими замовленнями їх батьків (опікунів) або за замовленнями громадських організацій.</w:t>
      </w:r>
    </w:p>
    <w:p w:rsidR="00777F14" w:rsidRPr="000C5851" w:rsidRDefault="00777F14" w:rsidP="00601152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lang w:val="uk-UA"/>
        </w:rPr>
      </w:pPr>
    </w:p>
    <w:p w:rsidR="00777F14" w:rsidRPr="000C5851" w:rsidRDefault="00777F14" w:rsidP="00601152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>Спеціалізоване відділення соціальної допомоги вдома інвалідам з психічними захворюваннями</w:t>
      </w:r>
    </w:p>
    <w:p w:rsidR="00601152" w:rsidRPr="000C5851" w:rsidRDefault="00601152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спеціалізоване відділення соціальної допомоги вдома інвалідам з психічними захворюваннями, яке забезпечує соціальний захист та обслуговування осіб з розладами психіки. </w:t>
      </w:r>
    </w:p>
    <w:p w:rsidR="00601152" w:rsidRPr="000C5851" w:rsidRDefault="00601152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І півріччя 2017 року у спеціалізованому відділенні соціальну послугу догляд вдома отримали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709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 з психічними захворюваннями, яким за звітний період надано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160 637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соціально-побутових послуг.</w:t>
      </w: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601152">
      <w:pPr>
        <w:pStyle w:val="2"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    Транспортні послуги надаються мешканцям м. Києва, які не здатні до самообслуговування у зв’язку з захворюваннями опорно-рухового апарату, </w:t>
      </w:r>
      <w:r w:rsidRPr="000C5851">
        <w:rPr>
          <w:sz w:val="28"/>
          <w:szCs w:val="28"/>
          <w:lang w:val="uk-UA"/>
        </w:rPr>
        <w:lastRenderedPageBreak/>
        <w:t xml:space="preserve">пересуваються на візках або милицях і згідно з медичним висновком мають 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І, ІІ груп, які досягли 18-річного віку та дітей-інвалідів старше трьох років;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хворих (з числа осіб працездатного віку на період до встановлення їм групи інвалідності, але не більше, як на чотири місяці);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та хворих, яким проводяться процедури за життєвими показниками (гемодіаліз тощо);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у складі мало-мобільних груп населення (незалежно від громадянства та місця реєстрації) на час проведення загальнодержавних заходів;</w:t>
      </w:r>
    </w:p>
    <w:p w:rsidR="00601152" w:rsidRPr="000C5851" w:rsidRDefault="00601152" w:rsidP="0060115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Транспортні соціальні послуги надаються 18 автомобілями для перевезення осіб з інвалідністю з порушенням опорно-рухового апарату, обладнаними підйомниками та пандусами. За звітний період виконано</w:t>
      </w:r>
      <w:r w:rsidR="006D32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3 587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заявок, які надійшли від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783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інвалідністю, при цьому здійснено </w:t>
      </w:r>
      <w:r w:rsidR="006D32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6 431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перевезення.</w:t>
      </w:r>
    </w:p>
    <w:p w:rsidR="00601152" w:rsidRPr="000C5851" w:rsidRDefault="00601152" w:rsidP="0060115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01152" w:rsidRPr="000C5851" w:rsidRDefault="00601152" w:rsidP="0060115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601152" w:rsidRPr="000C5851" w:rsidRDefault="00601152" w:rsidP="00601152">
      <w:pPr>
        <w:widowControl/>
        <w:tabs>
          <w:tab w:val="left" w:pos="3507"/>
          <w:tab w:val="left" w:pos="7088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C5851">
        <w:rPr>
          <w:rFonts w:ascii="Times New Roman" w:hAnsi="Times New Roman"/>
          <w:color w:val="auto"/>
          <w:sz w:val="28"/>
          <w:szCs w:val="28"/>
        </w:rPr>
        <w:t xml:space="preserve">Директор Київського міського </w:t>
      </w:r>
    </w:p>
    <w:p w:rsidR="00601152" w:rsidRPr="000C5851" w:rsidRDefault="00601152" w:rsidP="00601152">
      <w:pPr>
        <w:widowControl/>
        <w:tabs>
          <w:tab w:val="left" w:pos="3507"/>
          <w:tab w:val="left" w:pos="7088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C5851">
        <w:rPr>
          <w:rFonts w:ascii="Times New Roman" w:hAnsi="Times New Roman"/>
          <w:color w:val="auto"/>
          <w:sz w:val="28"/>
          <w:szCs w:val="28"/>
        </w:rPr>
        <w:t xml:space="preserve">територіального центру </w:t>
      </w:r>
    </w:p>
    <w:p w:rsidR="00601152" w:rsidRPr="000C5851" w:rsidRDefault="00601152" w:rsidP="00601152">
      <w:pPr>
        <w:widowControl/>
        <w:tabs>
          <w:tab w:val="left" w:pos="3507"/>
          <w:tab w:val="left" w:pos="7088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C5851">
        <w:rPr>
          <w:rFonts w:ascii="Times New Roman" w:hAnsi="Times New Roman"/>
          <w:color w:val="auto"/>
          <w:sz w:val="28"/>
          <w:szCs w:val="28"/>
        </w:rPr>
        <w:t>соціального обслуговування                                               Н. Глоба</w:t>
      </w:r>
    </w:p>
    <w:p w:rsidR="00601152" w:rsidRPr="000C5851" w:rsidRDefault="00601152" w:rsidP="0060115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77F14" w:rsidRPr="000C5851" w:rsidRDefault="00777F14" w:rsidP="00601152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</w:p>
    <w:p w:rsidR="00650682" w:rsidRDefault="00650682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925C0" w:rsidRDefault="003925C0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  <w:proofErr w:type="spellStart"/>
      <w:r w:rsidRPr="002C1FF7">
        <w:rPr>
          <w:rFonts w:ascii="Times New Roman" w:hAnsi="Times New Roman" w:cs="Times New Roman"/>
          <w:color w:val="auto"/>
          <w:sz w:val="20"/>
          <w:szCs w:val="28"/>
        </w:rPr>
        <w:t>Зеленянська</w:t>
      </w:r>
      <w:proofErr w:type="spellEnd"/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C4" w:rsidRDefault="009901C4" w:rsidP="00AA72A6">
      <w:r>
        <w:separator/>
      </w:r>
    </w:p>
  </w:endnote>
  <w:endnote w:type="continuationSeparator" w:id="0">
    <w:p w:rsidR="009901C4" w:rsidRDefault="009901C4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C4" w:rsidRDefault="009901C4" w:rsidP="00AA72A6">
      <w:r>
        <w:separator/>
      </w:r>
    </w:p>
  </w:footnote>
  <w:footnote w:type="continuationSeparator" w:id="0">
    <w:p w:rsidR="009901C4" w:rsidRDefault="009901C4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A72A6" w:rsidRDefault="00AA72A6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8A24BD" w:rsidRPr="008A24BD">
          <w:rPr>
            <w:rFonts w:ascii="Times New Roman" w:hAnsi="Times New Roman" w:cs="Times New Roman"/>
            <w:noProof/>
            <w:sz w:val="20"/>
            <w:lang w:val="ru-RU"/>
          </w:rPr>
          <w:t>2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A72A6" w:rsidRDefault="00AA7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BF886D2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C5851"/>
    <w:rsid w:val="000D3C8A"/>
    <w:rsid w:val="0016221D"/>
    <w:rsid w:val="001B4F49"/>
    <w:rsid w:val="002A3B80"/>
    <w:rsid w:val="002C1FF7"/>
    <w:rsid w:val="0038092F"/>
    <w:rsid w:val="003925C0"/>
    <w:rsid w:val="003C12BD"/>
    <w:rsid w:val="0044636E"/>
    <w:rsid w:val="00601152"/>
    <w:rsid w:val="00616C6C"/>
    <w:rsid w:val="00650682"/>
    <w:rsid w:val="006D3213"/>
    <w:rsid w:val="007502E5"/>
    <w:rsid w:val="007724A5"/>
    <w:rsid w:val="00777F14"/>
    <w:rsid w:val="008A24BD"/>
    <w:rsid w:val="00956A97"/>
    <w:rsid w:val="009901C4"/>
    <w:rsid w:val="009D5960"/>
    <w:rsid w:val="00A67A2D"/>
    <w:rsid w:val="00AA72A6"/>
    <w:rsid w:val="00E16270"/>
    <w:rsid w:val="00E8421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421616299180626"/>
          <c:y val="0.15166526877407158"/>
          <c:w val="0.5648970111988133"/>
          <c:h val="0.77062753519446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2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486814566764334E-2"/>
                  <c:y val="2.09643605870019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9905083423646337E-2"/>
                  <c:y val="-4.4994375703042078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відділення соціальної допомоги вдома - 10 861 особа</c:v>
                </c:pt>
                <c:pt idx="1">
                  <c:v>відділення паліативної допомоги вдома - 107 осіб</c:v>
                </c:pt>
                <c:pt idx="2">
                  <c:v>відділення денного перебування - 7 830 осіб</c:v>
                </c:pt>
                <c:pt idx="3">
                  <c:v>відділення організації надання адресної натуральної та грошової допомоги - 8 123 осіб</c:v>
                </c:pt>
                <c:pt idx="4">
                  <c:v>відділення соціально-медичної реабілітації дітей- інвалідів - 313 осіб</c:v>
                </c:pt>
                <c:pt idx="5">
                  <c:v>спеціалізоване відділення соціальної допомоги вдома інвалідам з психічними захворюваннями - 709</c:v>
                </c:pt>
                <c:pt idx="6">
                  <c:v>інші підрозділи територіальних центрів - 2 153 особи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">
                  <c:v>10861</c:v>
                </c:pt>
                <c:pt idx="1">
                  <c:v>107</c:v>
                </c:pt>
                <c:pt idx="2">
                  <c:v>7830</c:v>
                </c:pt>
                <c:pt idx="3">
                  <c:v>8123</c:v>
                </c:pt>
                <c:pt idx="4">
                  <c:v>313</c:v>
                </c:pt>
                <c:pt idx="5">
                  <c:v>709</c:v>
                </c:pt>
                <c:pt idx="6" formatCode="0">
                  <c:v>2153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7238658537080087E-3"/>
          <c:y val="4.8134406927947571E-2"/>
          <c:w val="0.5019677047068265"/>
          <c:h val="0.93371116745999971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CFF6-F545-4044-8F17-C2F0A37C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18</cp:revision>
  <cp:lastPrinted>2017-07-11T13:57:00Z</cp:lastPrinted>
  <dcterms:created xsi:type="dcterms:W3CDTF">2017-07-11T06:33:00Z</dcterms:created>
  <dcterms:modified xsi:type="dcterms:W3CDTF">2017-07-11T13:58:00Z</dcterms:modified>
</cp:coreProperties>
</file>